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86C7D" w:rsidRDefault="00F92268" w:rsidP="00850792">
      <w:pPr>
        <w:pStyle w:val="BodyText"/>
        <w:rPr>
          <w:sz w:val="6"/>
          <w:szCs w:val="6"/>
        </w:rPr>
      </w:pPr>
      <w:r w:rsidRPr="00F86C7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86C7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86C7D" w:rsidRDefault="00F92268" w:rsidP="00F246C7">
            <w:pPr>
              <w:pStyle w:val="RefTableData"/>
            </w:pPr>
            <w:r w:rsidRPr="00F86C7D">
              <w:t>Reference number(s)</w:t>
            </w:r>
          </w:p>
        </w:tc>
      </w:tr>
      <w:tr w:rsidR="00F92268" w:rsidRPr="00F86C7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29E6A92" w:rsidR="00F92268" w:rsidRPr="00F86C7D" w:rsidRDefault="00A71D7C" w:rsidP="00F246C7">
            <w:pPr>
              <w:pStyle w:val="RefTableHeader"/>
            </w:pPr>
            <w:r w:rsidRPr="00F86C7D">
              <w:t>1968-A,</w:t>
            </w:r>
            <w:r w:rsidR="00271B40" w:rsidRPr="00F86C7D">
              <w:t xml:space="preserve"> </w:t>
            </w:r>
            <w:r w:rsidRPr="00F86C7D">
              <w:t>6053-A</w:t>
            </w:r>
          </w:p>
        </w:tc>
      </w:tr>
    </w:tbl>
    <w:p w14:paraId="74FBA5B4" w14:textId="77777777" w:rsidR="00051356" w:rsidRPr="00F86C7D" w:rsidRDefault="00051356" w:rsidP="00A672B3">
      <w:pPr>
        <w:pStyle w:val="BodyText"/>
        <w:rPr>
          <w:b/>
          <w:bCs/>
          <w:sz w:val="16"/>
          <w:szCs w:val="16"/>
        </w:rPr>
        <w:sectPr w:rsidR="00051356" w:rsidRPr="00F86C7D" w:rsidSect="006A0413">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AE0C9B2" w:rsidR="004B15BB" w:rsidRPr="00F86C7D" w:rsidRDefault="00481D65" w:rsidP="007E5C16">
      <w:pPr>
        <w:pStyle w:val="Heading1"/>
      </w:pPr>
      <w:r w:rsidRPr="00F86C7D">
        <w:t>Specialty Guideline Management</w:t>
      </w:r>
      <w:r w:rsidR="008C54D9" w:rsidRPr="00F86C7D">
        <w:br/>
      </w:r>
      <w:r w:rsidRPr="00F86C7D">
        <w:t>Trelstar</w:t>
      </w:r>
    </w:p>
    <w:p w14:paraId="78861C92" w14:textId="11C493B8" w:rsidR="00203468" w:rsidRPr="00F86C7D" w:rsidRDefault="00C64534" w:rsidP="008E0F0D">
      <w:pPr>
        <w:pStyle w:val="Heading2"/>
      </w:pPr>
      <w:r w:rsidRPr="00F86C7D">
        <w:t xml:space="preserve">Products Referenced by this </w:t>
      </w:r>
      <w:r w:rsidR="00501602" w:rsidRPr="00F86C7D">
        <w:t>Document</w:t>
      </w:r>
    </w:p>
    <w:p w14:paraId="5455152B" w14:textId="6CA65A0C" w:rsidR="008E0F0D" w:rsidRPr="00F86C7D" w:rsidRDefault="00D82D85" w:rsidP="008B73E8">
      <w:pPr>
        <w:pStyle w:val="BodyText"/>
      </w:pPr>
      <w:r w:rsidRPr="00F86C7D">
        <w:t xml:space="preserve">Drugs that are listed in the </w:t>
      </w:r>
      <w:r w:rsidR="000315F1" w:rsidRPr="00F86C7D">
        <w:t>following table</w:t>
      </w:r>
      <w:r w:rsidRPr="00F86C7D">
        <w:t xml:space="preserve"> include both brand and generic and all dosage forms and strengths unless otherwise stated. </w:t>
      </w:r>
      <w:r w:rsidR="00EB2496" w:rsidRPr="00BD1CC1">
        <w:t>O</w:t>
      </w:r>
      <w:r w:rsidR="00EB2496">
        <w:t>ver-the-counter</w:t>
      </w:r>
      <w:r w:rsidR="00EB2496" w:rsidRPr="00BD1CC1">
        <w:t xml:space="preserve"> </w:t>
      </w:r>
      <w:r w:rsidR="00EB2496">
        <w:t xml:space="preserve">(OTC) </w:t>
      </w:r>
      <w:r w:rsidRPr="00F86C7D">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F86C7D" w14:paraId="158421F8" w14:textId="77777777" w:rsidTr="000C5A6F">
        <w:trPr>
          <w:cantSplit/>
          <w:trHeight w:val="288"/>
          <w:tblHeader/>
        </w:trPr>
        <w:tc>
          <w:tcPr>
            <w:tcW w:w="5265" w:type="dxa"/>
            <w:vAlign w:val="center"/>
          </w:tcPr>
          <w:p w14:paraId="2A27354A" w14:textId="1390179E" w:rsidR="00252CE1" w:rsidRPr="00F86C7D" w:rsidRDefault="00252CE1" w:rsidP="00AA1E6A">
            <w:pPr>
              <w:pStyle w:val="TableHeader"/>
            </w:pPr>
            <w:bookmarkStart w:id="0" w:name="_Hlk159603270"/>
            <w:r w:rsidRPr="00F86C7D">
              <w:t>Brand Name</w:t>
            </w:r>
          </w:p>
        </w:tc>
        <w:tc>
          <w:tcPr>
            <w:tcW w:w="5595" w:type="dxa"/>
            <w:vAlign w:val="center"/>
          </w:tcPr>
          <w:p w14:paraId="3D342BE1" w14:textId="75F11EF1" w:rsidR="00252CE1" w:rsidRPr="00F86C7D" w:rsidRDefault="00252CE1" w:rsidP="00AA1E6A">
            <w:pPr>
              <w:pStyle w:val="TableHeader"/>
            </w:pPr>
            <w:r w:rsidRPr="00F86C7D">
              <w:t>Generic Name</w:t>
            </w:r>
          </w:p>
        </w:tc>
      </w:tr>
      <w:tr w:rsidR="00E509A9" w:rsidRPr="00F86C7D" w14:paraId="2AD5C02D" w14:textId="77777777" w:rsidTr="000C5A6F">
        <w:trPr>
          <w:cantSplit/>
        </w:trPr>
        <w:tc>
          <w:tcPr>
            <w:tcW w:w="5265" w:type="dxa"/>
          </w:tcPr>
          <w:p w14:paraId="2D8FA8E3" w14:textId="6C243F35" w:rsidR="00E509A9" w:rsidRPr="00F86C7D" w:rsidRDefault="00E509A9" w:rsidP="00E509A9">
            <w:pPr>
              <w:pStyle w:val="TableDataUnpadded"/>
              <w:rPr>
                <w:bCs/>
              </w:rPr>
            </w:pPr>
            <w:r w:rsidRPr="00F86C7D">
              <w:rPr>
                <w:bCs/>
              </w:rPr>
              <w:t>Trelstar</w:t>
            </w:r>
          </w:p>
        </w:tc>
        <w:tc>
          <w:tcPr>
            <w:tcW w:w="5595" w:type="dxa"/>
          </w:tcPr>
          <w:p w14:paraId="7E26A004" w14:textId="3BA46028" w:rsidR="00E509A9" w:rsidRPr="00F86C7D" w:rsidRDefault="00E509A9" w:rsidP="00E509A9">
            <w:pPr>
              <w:pStyle w:val="TableDataUnpadded"/>
              <w:rPr>
                <w:bCs/>
              </w:rPr>
            </w:pPr>
            <w:r w:rsidRPr="00F86C7D">
              <w:rPr>
                <w:bCs/>
              </w:rPr>
              <w:t>triptorelin pamoate</w:t>
            </w:r>
          </w:p>
        </w:tc>
      </w:tr>
    </w:tbl>
    <w:bookmarkEnd w:id="0"/>
    <w:p w14:paraId="14CE6108" w14:textId="361A2D9E" w:rsidR="00FC1AAD" w:rsidRPr="00F86C7D" w:rsidRDefault="00ED052F" w:rsidP="00A71D7C">
      <w:pPr>
        <w:pStyle w:val="Heading2"/>
        <w:tabs>
          <w:tab w:val="left" w:pos="9285"/>
        </w:tabs>
      </w:pPr>
      <w:r w:rsidRPr="00F86C7D">
        <w:t>Indications</w:t>
      </w:r>
    </w:p>
    <w:p w14:paraId="408DBF7A" w14:textId="352B13B2" w:rsidR="00481D65" w:rsidRPr="00F86C7D" w:rsidRDefault="00481D65" w:rsidP="00481D65">
      <w:pPr>
        <w:pStyle w:val="BodyText"/>
      </w:pPr>
      <w:r w:rsidRPr="00F86C7D">
        <w:t>The indications below including FDA-approved indications and compendial uses are considered a covered benefit provided that all the approval criteria are met and the member has no exclusions to the prescribed therapy</w:t>
      </w:r>
      <w:r w:rsidR="009310E9" w:rsidRPr="00F86C7D">
        <w:t>.</w:t>
      </w:r>
    </w:p>
    <w:p w14:paraId="134B5687" w14:textId="64E92ACD" w:rsidR="00ED052F" w:rsidRPr="00F86C7D" w:rsidRDefault="00ED052F" w:rsidP="00ED052F">
      <w:pPr>
        <w:pStyle w:val="Heading3"/>
        <w:keepNext w:val="0"/>
      </w:pPr>
      <w:r w:rsidRPr="00F86C7D">
        <w:t>FDA-</w:t>
      </w:r>
      <w:r w:rsidR="00717257" w:rsidRPr="00F86C7D">
        <w:t>A</w:t>
      </w:r>
      <w:r w:rsidRPr="00F86C7D">
        <w:t xml:space="preserve">pproved </w:t>
      </w:r>
      <w:r w:rsidR="00481D65" w:rsidRPr="00F86C7D">
        <w:t>Indication</w:t>
      </w:r>
      <w:r w:rsidR="00481D65" w:rsidRPr="000F6668">
        <w:rPr>
          <w:bCs w:val="0"/>
          <w:vertAlign w:val="superscript"/>
        </w:rPr>
        <w:t>1</w:t>
      </w:r>
    </w:p>
    <w:p w14:paraId="4C434745" w14:textId="3E2031D1" w:rsidR="00ED052F" w:rsidRPr="00F86C7D" w:rsidRDefault="00481D65" w:rsidP="00ED052F">
      <w:pPr>
        <w:pStyle w:val="BodyText"/>
      </w:pPr>
      <w:r w:rsidRPr="00F86C7D">
        <w:t>Trelstar is indicated for the treatment of advanced prostate cancer</w:t>
      </w:r>
    </w:p>
    <w:p w14:paraId="0B5EC236" w14:textId="209B70FF" w:rsidR="0044763A" w:rsidRPr="00F86C7D" w:rsidRDefault="009F2EF1" w:rsidP="0044763A">
      <w:pPr>
        <w:pStyle w:val="Heading3"/>
      </w:pPr>
      <w:r w:rsidRPr="00F86C7D">
        <w:t>Compendial Uses</w:t>
      </w:r>
    </w:p>
    <w:p w14:paraId="4B217CDE" w14:textId="77777777" w:rsidR="00481D65" w:rsidRPr="00F86C7D" w:rsidRDefault="00481D65" w:rsidP="00BC07BE">
      <w:pPr>
        <w:pStyle w:val="ListParagraph"/>
        <w:numPr>
          <w:ilvl w:val="0"/>
          <w:numId w:val="21"/>
        </w:numPr>
      </w:pPr>
      <w:r w:rsidRPr="00F86C7D">
        <w:t>Prostate cancer</w:t>
      </w:r>
      <w:r w:rsidRPr="00F86C7D">
        <w:rPr>
          <w:vertAlign w:val="superscript"/>
        </w:rPr>
        <w:t>2</w:t>
      </w:r>
    </w:p>
    <w:p w14:paraId="5EC02EFB" w14:textId="652ED5E1" w:rsidR="00481D65" w:rsidRPr="00F86C7D" w:rsidRDefault="00481D65" w:rsidP="00BC07BE">
      <w:pPr>
        <w:pStyle w:val="ListParagraph"/>
        <w:numPr>
          <w:ilvl w:val="0"/>
          <w:numId w:val="21"/>
        </w:numPr>
      </w:pPr>
      <w:r w:rsidRPr="00F86C7D">
        <w:t>Preservation of ovarian function</w:t>
      </w:r>
      <w:r w:rsidR="00782BC1">
        <w:rPr>
          <w:vertAlign w:val="superscript"/>
        </w:rPr>
        <w:t>7</w:t>
      </w:r>
      <w:r w:rsidRPr="00F86C7D">
        <w:rPr>
          <w:vertAlign w:val="superscript"/>
        </w:rPr>
        <w:t>-1</w:t>
      </w:r>
      <w:r w:rsidR="00782BC1">
        <w:rPr>
          <w:vertAlign w:val="superscript"/>
        </w:rPr>
        <w:t>0</w:t>
      </w:r>
    </w:p>
    <w:p w14:paraId="0DD74753" w14:textId="72CD6FA9" w:rsidR="00481D65" w:rsidRPr="00F86C7D" w:rsidRDefault="00481D65" w:rsidP="00BC07BE">
      <w:pPr>
        <w:pStyle w:val="ListParagraph"/>
        <w:numPr>
          <w:ilvl w:val="0"/>
          <w:numId w:val="21"/>
        </w:numPr>
      </w:pPr>
      <w:r w:rsidRPr="00F86C7D">
        <w:t>Breast cancer – ovarian suppression</w:t>
      </w:r>
      <w:r w:rsidRPr="00F86C7D">
        <w:rPr>
          <w:vertAlign w:val="superscript"/>
        </w:rPr>
        <w:t>1</w:t>
      </w:r>
      <w:r w:rsidR="00AC23AA">
        <w:rPr>
          <w:vertAlign w:val="superscript"/>
        </w:rPr>
        <w:t>0</w:t>
      </w:r>
      <w:r w:rsidRPr="00F86C7D">
        <w:rPr>
          <w:vertAlign w:val="superscript"/>
        </w:rPr>
        <w:t>-1</w:t>
      </w:r>
      <w:r w:rsidR="00AC23AA">
        <w:rPr>
          <w:vertAlign w:val="superscript"/>
        </w:rPr>
        <w:t>2</w:t>
      </w:r>
    </w:p>
    <w:p w14:paraId="34563449" w14:textId="439BFBA1" w:rsidR="0019596C" w:rsidRDefault="0019596C" w:rsidP="00BC07BE">
      <w:pPr>
        <w:pStyle w:val="ListParagraph"/>
        <w:numPr>
          <w:ilvl w:val="0"/>
          <w:numId w:val="21"/>
        </w:numPr>
        <w:spacing w:after="120"/>
      </w:pPr>
      <w:r>
        <w:t>Salivary gland tumor</w:t>
      </w:r>
      <w:r w:rsidR="00D22985">
        <w:rPr>
          <w:vertAlign w:val="superscript"/>
        </w:rPr>
        <w:t>2,1</w:t>
      </w:r>
      <w:r w:rsidR="00AC23AA">
        <w:rPr>
          <w:vertAlign w:val="superscript"/>
        </w:rPr>
        <w:t>5</w:t>
      </w:r>
    </w:p>
    <w:p w14:paraId="5A24D061" w14:textId="23F2B968" w:rsidR="0019596C" w:rsidRDefault="0019596C" w:rsidP="00BC07BE">
      <w:pPr>
        <w:pStyle w:val="ListParagraph"/>
        <w:numPr>
          <w:ilvl w:val="0"/>
          <w:numId w:val="21"/>
        </w:numPr>
        <w:spacing w:after="120"/>
      </w:pPr>
      <w:r>
        <w:t>Uterine sarcoma</w:t>
      </w:r>
      <w:r w:rsidR="00D22985">
        <w:rPr>
          <w:vertAlign w:val="superscript"/>
        </w:rPr>
        <w:t>2</w:t>
      </w:r>
    </w:p>
    <w:p w14:paraId="16D80376" w14:textId="123606AE" w:rsidR="00481D65" w:rsidRPr="00F86C7D" w:rsidRDefault="00481D65" w:rsidP="00BC07BE">
      <w:pPr>
        <w:pStyle w:val="ListParagraph"/>
        <w:numPr>
          <w:ilvl w:val="0"/>
          <w:numId w:val="21"/>
        </w:numPr>
        <w:spacing w:after="120"/>
      </w:pPr>
      <w:r w:rsidRPr="00F86C7D">
        <w:t xml:space="preserve">Gender dysphoria (also known as </w:t>
      </w:r>
      <w:bookmarkStart w:id="1" w:name="OLE_LINK36"/>
      <w:r w:rsidRPr="00F86C7D">
        <w:t>transgender and gender diverse [TGD] persons</w:t>
      </w:r>
      <w:bookmarkEnd w:id="1"/>
      <w:r w:rsidRPr="00F86C7D">
        <w:t>)</w:t>
      </w:r>
      <w:r w:rsidRPr="00F86C7D">
        <w:rPr>
          <w:vertAlign w:val="superscript"/>
        </w:rPr>
        <w:t>3-</w:t>
      </w:r>
      <w:r w:rsidR="00656925">
        <w:rPr>
          <w:vertAlign w:val="superscript"/>
        </w:rPr>
        <w:t>6</w:t>
      </w:r>
    </w:p>
    <w:p w14:paraId="0D5A9DD5" w14:textId="44D97AE4" w:rsidR="009A5649" w:rsidRPr="00F86C7D" w:rsidRDefault="00481D65" w:rsidP="009A5649">
      <w:pPr>
        <w:pStyle w:val="BodyText"/>
        <w:rPr>
          <w:rFonts w:eastAsia="Arial"/>
        </w:rPr>
      </w:pPr>
      <w:r w:rsidRPr="00F86C7D">
        <w:t>All other indications are considered experimental/investigational and not medically necessary</w:t>
      </w:r>
      <w:r w:rsidR="009A5649" w:rsidRPr="00F86C7D">
        <w:rPr>
          <w:rFonts w:eastAsia="Arial"/>
        </w:rPr>
        <w:t>.</w:t>
      </w:r>
    </w:p>
    <w:p w14:paraId="36381B6D" w14:textId="6D3D5D63" w:rsidR="000D2496" w:rsidRPr="00F86C7D" w:rsidRDefault="000D2496" w:rsidP="00271B40">
      <w:pPr>
        <w:pStyle w:val="Heading2"/>
        <w:tabs>
          <w:tab w:val="left" w:pos="9720"/>
        </w:tabs>
      </w:pPr>
      <w:r w:rsidRPr="00F86C7D">
        <w:lastRenderedPageBreak/>
        <w:t>Documentation</w:t>
      </w:r>
    </w:p>
    <w:p w14:paraId="2180ED6E" w14:textId="581ECAD6" w:rsidR="000D2496" w:rsidRPr="00F86C7D" w:rsidRDefault="00481D65" w:rsidP="000D2496">
      <w:pPr>
        <w:pStyle w:val="BodyText"/>
      </w:pPr>
      <w:r w:rsidRPr="00F86C7D">
        <w:t>Submission of the following information is necessary to initiate the prior authorization review: Hormone receptor status testing results (where applicable).</w:t>
      </w:r>
    </w:p>
    <w:p w14:paraId="4A5B15F8" w14:textId="6345EC6D" w:rsidR="00006174" w:rsidRPr="00F86C7D" w:rsidRDefault="00006174" w:rsidP="00717257">
      <w:pPr>
        <w:pStyle w:val="Heading2"/>
      </w:pPr>
      <w:r w:rsidRPr="00F86C7D">
        <w:t xml:space="preserve">Prescriber </w:t>
      </w:r>
      <w:r w:rsidR="00481D65" w:rsidRPr="00F86C7D">
        <w:t>Specialties</w:t>
      </w:r>
      <w:r w:rsidR="00481D65" w:rsidRPr="00F86C7D">
        <w:rPr>
          <w:vertAlign w:val="superscript"/>
        </w:rPr>
        <w:t>1</w:t>
      </w:r>
      <w:r w:rsidR="0067078F">
        <w:rPr>
          <w:vertAlign w:val="superscript"/>
        </w:rPr>
        <w:t>4</w:t>
      </w:r>
    </w:p>
    <w:p w14:paraId="4B4F18BA" w14:textId="097DAB8E" w:rsidR="00481D65" w:rsidRPr="00F86C7D" w:rsidRDefault="00481D65" w:rsidP="00481D65">
      <w:pPr>
        <w:pStyle w:val="BodyText"/>
      </w:pPr>
      <w:r w:rsidRPr="00F86C7D">
        <w:t>For gender dysphoria, the medication must be prescribed by or in consultation with a provider specialized in the care of transgender youth (e.g., pediatric endocrinologist, family or internal medicine physician, obstetrician-gynecologist) that has collaborated care with a mental health provider for members less than 18 years of age</w:t>
      </w:r>
      <w:r w:rsidR="009310E9" w:rsidRPr="00F86C7D">
        <w:t>.</w:t>
      </w:r>
    </w:p>
    <w:p w14:paraId="50A38FBA" w14:textId="64053034" w:rsidR="00FE0C63" w:rsidRPr="00F86C7D" w:rsidRDefault="00717257" w:rsidP="00481D65">
      <w:pPr>
        <w:pStyle w:val="Heading2"/>
      </w:pPr>
      <w:r w:rsidRPr="00F86C7D">
        <w:t>Coverage Criteria</w:t>
      </w:r>
    </w:p>
    <w:p w14:paraId="7F7E17BE" w14:textId="73129E1A" w:rsidR="00481D65" w:rsidRPr="00F86C7D" w:rsidRDefault="00481D65" w:rsidP="0080360C">
      <w:pPr>
        <w:pStyle w:val="Heading3"/>
      </w:pPr>
      <w:r w:rsidRPr="00F86C7D">
        <w:t xml:space="preserve">Prostate </w:t>
      </w:r>
      <w:r w:rsidR="00FF3EF6" w:rsidRPr="00F86C7D">
        <w:t>Cancer</w:t>
      </w:r>
      <w:r w:rsidR="00FF3EF6" w:rsidRPr="00F86C7D">
        <w:rPr>
          <w:vertAlign w:val="superscript"/>
        </w:rPr>
        <w:t>1,2</w:t>
      </w:r>
    </w:p>
    <w:p w14:paraId="2361DFD7" w14:textId="77777777" w:rsidR="00481D65" w:rsidRPr="00F86C7D" w:rsidRDefault="00481D65" w:rsidP="0080360C">
      <w:pPr>
        <w:spacing w:after="60"/>
        <w:rPr>
          <w:b/>
          <w:sz w:val="20"/>
        </w:rPr>
      </w:pPr>
      <w:r w:rsidRPr="00F86C7D">
        <w:rPr>
          <w:rStyle w:val="BodyTextChar"/>
        </w:rPr>
        <w:t>Authorization of 12 months may be granted for treatment of prostate cancer</w:t>
      </w:r>
      <w:r w:rsidRPr="00F86C7D">
        <w:rPr>
          <w:sz w:val="20"/>
        </w:rPr>
        <w:t>.</w:t>
      </w:r>
    </w:p>
    <w:p w14:paraId="7CD512D8" w14:textId="457D8117" w:rsidR="00481D65" w:rsidRPr="00F86C7D" w:rsidRDefault="00481D65" w:rsidP="0080360C">
      <w:pPr>
        <w:pStyle w:val="Heading3"/>
      </w:pPr>
      <w:r w:rsidRPr="00F86C7D">
        <w:t xml:space="preserve">Preservation </w:t>
      </w:r>
      <w:r w:rsidR="00717257" w:rsidRPr="00F86C7D">
        <w:t>of Ovarian Function</w:t>
      </w:r>
      <w:r w:rsidR="00201383">
        <w:rPr>
          <w:vertAlign w:val="superscript"/>
        </w:rPr>
        <w:t>7</w:t>
      </w:r>
      <w:r w:rsidR="00717257" w:rsidRPr="00F86C7D">
        <w:rPr>
          <w:vertAlign w:val="superscript"/>
        </w:rPr>
        <w:t>-1</w:t>
      </w:r>
      <w:r w:rsidR="00201383">
        <w:rPr>
          <w:vertAlign w:val="superscript"/>
        </w:rPr>
        <w:t>0</w:t>
      </w:r>
    </w:p>
    <w:p w14:paraId="1540DD36" w14:textId="77777777" w:rsidR="00481D65" w:rsidRPr="00F86C7D" w:rsidRDefault="00481D65" w:rsidP="0080360C">
      <w:pPr>
        <w:spacing w:after="60"/>
        <w:rPr>
          <w:sz w:val="20"/>
        </w:rPr>
      </w:pPr>
      <w:r w:rsidRPr="00F86C7D">
        <w:rPr>
          <w:rStyle w:val="BodyTextChar"/>
        </w:rPr>
        <w:t>Authorization of 3 months may be granted for preservation of ovarian function when the member is premenopausal and undergoing chemotherapy</w:t>
      </w:r>
      <w:r w:rsidRPr="00F86C7D">
        <w:rPr>
          <w:sz w:val="20"/>
        </w:rPr>
        <w:t>.</w:t>
      </w:r>
    </w:p>
    <w:p w14:paraId="74731417" w14:textId="26EAC259" w:rsidR="00481D65" w:rsidRPr="00F86C7D" w:rsidRDefault="00481D65" w:rsidP="0080360C">
      <w:pPr>
        <w:pStyle w:val="Heading3"/>
      </w:pPr>
      <w:r w:rsidRPr="00F86C7D">
        <w:t xml:space="preserve">Breast </w:t>
      </w:r>
      <w:r w:rsidR="00717257" w:rsidRPr="00F86C7D">
        <w:t>Cancer – Ovarian Suppression</w:t>
      </w:r>
      <w:r w:rsidR="0019596C" w:rsidRPr="000F6668">
        <w:rPr>
          <w:vertAlign w:val="superscript"/>
        </w:rPr>
        <w:t>2,</w:t>
      </w:r>
      <w:r w:rsidR="00717257" w:rsidRPr="0019596C">
        <w:rPr>
          <w:vertAlign w:val="superscript"/>
        </w:rPr>
        <w:t>1</w:t>
      </w:r>
      <w:r w:rsidR="009434AA">
        <w:rPr>
          <w:vertAlign w:val="superscript"/>
        </w:rPr>
        <w:t>0</w:t>
      </w:r>
      <w:r w:rsidR="00717257" w:rsidRPr="00F86C7D">
        <w:rPr>
          <w:vertAlign w:val="superscript"/>
        </w:rPr>
        <w:t>-1</w:t>
      </w:r>
      <w:r w:rsidR="009434AA">
        <w:rPr>
          <w:vertAlign w:val="superscript"/>
        </w:rPr>
        <w:t>2</w:t>
      </w:r>
    </w:p>
    <w:p w14:paraId="7DD6AE63" w14:textId="12B7F3C0" w:rsidR="00481D65" w:rsidRPr="00F86C7D" w:rsidRDefault="00481D65" w:rsidP="0080360C">
      <w:pPr>
        <w:spacing w:after="60"/>
        <w:rPr>
          <w:sz w:val="20"/>
        </w:rPr>
      </w:pPr>
      <w:r w:rsidRPr="00F86C7D">
        <w:rPr>
          <w:rStyle w:val="BodyTextChar"/>
        </w:rPr>
        <w:t>Authorization of 12 months may be granted for ovarian suppression in premenopausal members with hormone-receptor positive breast cancer at higher risk for recurrence (e.g., young age, high-grade tumor, lymph-node involvement) when used in combination with endocrine therapy</w:t>
      </w:r>
      <w:r w:rsidRPr="00F86C7D">
        <w:rPr>
          <w:sz w:val="20"/>
        </w:rPr>
        <w:t>.</w:t>
      </w:r>
    </w:p>
    <w:p w14:paraId="4C96F6F3" w14:textId="6F27467F" w:rsidR="0019596C" w:rsidRDefault="0019596C" w:rsidP="0019596C">
      <w:pPr>
        <w:pStyle w:val="Heading3"/>
      </w:pPr>
      <w:r>
        <w:t>Salivary Gland Tumor</w:t>
      </w:r>
      <w:r>
        <w:rPr>
          <w:vertAlign w:val="superscript"/>
        </w:rPr>
        <w:t>2,1</w:t>
      </w:r>
      <w:r w:rsidR="009434AA">
        <w:rPr>
          <w:vertAlign w:val="superscript"/>
        </w:rPr>
        <w:t>5</w:t>
      </w:r>
    </w:p>
    <w:p w14:paraId="568CB7D8" w14:textId="2CF6DDA7" w:rsidR="0019596C" w:rsidRPr="00971661" w:rsidRDefault="0019596C" w:rsidP="0019596C">
      <w:pPr>
        <w:pStyle w:val="BodyText"/>
      </w:pPr>
      <w:r>
        <w:t>Authorization of 12 months may be granted for treatment of recurrent, unresectable, or metastatic salivary gland tumors in combination with abiraterone and prednisone when the tumor is androgen receptor positive.</w:t>
      </w:r>
    </w:p>
    <w:p w14:paraId="6F75C510" w14:textId="77777777" w:rsidR="0019596C" w:rsidRDefault="0019596C" w:rsidP="0019596C">
      <w:pPr>
        <w:pStyle w:val="Heading3"/>
        <w:rPr>
          <w:vertAlign w:val="superscript"/>
        </w:rPr>
      </w:pPr>
      <w:r>
        <w:t>Uterine Sarcoma</w:t>
      </w:r>
      <w:r>
        <w:rPr>
          <w:vertAlign w:val="superscript"/>
        </w:rPr>
        <w:t>2</w:t>
      </w:r>
    </w:p>
    <w:p w14:paraId="1415F0B9" w14:textId="77777777" w:rsidR="0019596C" w:rsidRPr="00971661" w:rsidRDefault="0019596C" w:rsidP="0019596C">
      <w:pPr>
        <w:pStyle w:val="BodyText"/>
      </w:pPr>
      <w:r>
        <w:t>Authorization of 12 months may be granted for treatment of uterine sarcoma in combination with an aromatase inhibitor (e.g. anastrozole, exemestane) when the member is premenopausal and not suitable for surgery.</w:t>
      </w:r>
    </w:p>
    <w:p w14:paraId="2FED0BDE" w14:textId="70E7C16E" w:rsidR="00481D65" w:rsidRPr="00F86C7D" w:rsidRDefault="00481D65" w:rsidP="0080360C">
      <w:pPr>
        <w:pStyle w:val="Heading3"/>
      </w:pPr>
      <w:r w:rsidRPr="00F86C7D">
        <w:t xml:space="preserve">Gender </w:t>
      </w:r>
      <w:r w:rsidR="00717257" w:rsidRPr="00F86C7D">
        <w:t>Dysphoria</w:t>
      </w:r>
      <w:r w:rsidR="00717257" w:rsidRPr="00F86C7D">
        <w:rPr>
          <w:vertAlign w:val="superscript"/>
        </w:rPr>
        <w:t>3-</w:t>
      </w:r>
      <w:r w:rsidR="00326432">
        <w:rPr>
          <w:vertAlign w:val="superscript"/>
        </w:rPr>
        <w:t>6</w:t>
      </w:r>
    </w:p>
    <w:p w14:paraId="33ED1FE3" w14:textId="77777777" w:rsidR="00481D65" w:rsidRPr="00F86C7D" w:rsidRDefault="00481D65" w:rsidP="00137C34">
      <w:pPr>
        <w:pStyle w:val="BodyText"/>
      </w:pPr>
      <w:r w:rsidRPr="00F86C7D">
        <w:t>Authorization of 12 months may be granted for pubertal hormonal suppression in an adolescent member when all of the following criteria are met:</w:t>
      </w:r>
    </w:p>
    <w:p w14:paraId="2AED11F2" w14:textId="77777777" w:rsidR="00481D65" w:rsidRPr="00F86C7D" w:rsidRDefault="00481D65" w:rsidP="00BC07BE">
      <w:pPr>
        <w:pStyle w:val="ListParagraph"/>
        <w:numPr>
          <w:ilvl w:val="0"/>
          <w:numId w:val="22"/>
        </w:numPr>
      </w:pPr>
      <w:r w:rsidRPr="00F86C7D">
        <w:t>The member has a diagnosis of gender dysphoria.</w:t>
      </w:r>
    </w:p>
    <w:p w14:paraId="63D63985" w14:textId="77777777" w:rsidR="00481D65" w:rsidRPr="00F86C7D" w:rsidRDefault="00481D65" w:rsidP="00BC07BE">
      <w:pPr>
        <w:pStyle w:val="ListParagraph"/>
        <w:numPr>
          <w:ilvl w:val="0"/>
          <w:numId w:val="22"/>
        </w:numPr>
      </w:pPr>
      <w:r w:rsidRPr="00F86C7D">
        <w:t>The member is able to make an informed decision to engage in treatment.</w:t>
      </w:r>
    </w:p>
    <w:p w14:paraId="2C697D88" w14:textId="77777777" w:rsidR="00481D65" w:rsidRPr="00F86C7D" w:rsidRDefault="00481D65" w:rsidP="00BC07BE">
      <w:pPr>
        <w:pStyle w:val="ListParagraph"/>
        <w:numPr>
          <w:ilvl w:val="0"/>
          <w:numId w:val="22"/>
        </w:numPr>
      </w:pPr>
      <w:r w:rsidRPr="00F86C7D">
        <w:t>The member has reached Tanner stage 2 of puberty or greater.</w:t>
      </w:r>
    </w:p>
    <w:p w14:paraId="6601988E" w14:textId="77777777" w:rsidR="00481D65" w:rsidRPr="00F86C7D" w:rsidRDefault="00481D65" w:rsidP="00BC07BE">
      <w:pPr>
        <w:pStyle w:val="ListParagraph"/>
        <w:numPr>
          <w:ilvl w:val="0"/>
          <w:numId w:val="22"/>
        </w:numPr>
      </w:pPr>
      <w:r w:rsidRPr="00F86C7D">
        <w:t>The member’s comorbid conditions are reasonably controlled.</w:t>
      </w:r>
    </w:p>
    <w:p w14:paraId="66466ABB" w14:textId="77777777" w:rsidR="00481D65" w:rsidRPr="00F86C7D" w:rsidRDefault="00481D65" w:rsidP="00BC07BE">
      <w:pPr>
        <w:pStyle w:val="ListParagraph"/>
        <w:numPr>
          <w:ilvl w:val="0"/>
          <w:numId w:val="22"/>
        </w:numPr>
      </w:pPr>
      <w:r w:rsidRPr="00F86C7D">
        <w:t>The member has been educated on any contraindications and side effects to therapy.</w:t>
      </w:r>
    </w:p>
    <w:p w14:paraId="36797E65" w14:textId="77777777" w:rsidR="00481D65" w:rsidRPr="00F86C7D" w:rsidRDefault="00481D65" w:rsidP="00BC07BE">
      <w:pPr>
        <w:pStyle w:val="ListParagraph"/>
        <w:numPr>
          <w:ilvl w:val="0"/>
          <w:numId w:val="22"/>
        </w:numPr>
        <w:spacing w:after="120"/>
      </w:pPr>
      <w:r w:rsidRPr="00F86C7D">
        <w:t>The member has been informed of fertility preservation options.</w:t>
      </w:r>
    </w:p>
    <w:p w14:paraId="6DF2C932" w14:textId="77777777" w:rsidR="00481D65" w:rsidRPr="00F86C7D" w:rsidRDefault="00481D65" w:rsidP="00137C34">
      <w:pPr>
        <w:pStyle w:val="BodyText"/>
      </w:pPr>
      <w:r w:rsidRPr="00F86C7D">
        <w:t>Authorization of 12 months may be granted for gender transition when all of the following criteria are met:</w:t>
      </w:r>
    </w:p>
    <w:p w14:paraId="161D8192" w14:textId="77777777" w:rsidR="00481D65" w:rsidRPr="00F86C7D" w:rsidRDefault="00481D65" w:rsidP="00BC07BE">
      <w:pPr>
        <w:pStyle w:val="ListParagraph"/>
        <w:numPr>
          <w:ilvl w:val="0"/>
          <w:numId w:val="23"/>
        </w:numPr>
      </w:pPr>
      <w:r w:rsidRPr="00F86C7D">
        <w:t>The member has a diagnosis of gender dysphoria.</w:t>
      </w:r>
    </w:p>
    <w:p w14:paraId="05008201" w14:textId="77777777" w:rsidR="00481D65" w:rsidRPr="00F86C7D" w:rsidRDefault="00481D65" w:rsidP="00BC07BE">
      <w:pPr>
        <w:pStyle w:val="ListParagraph"/>
        <w:numPr>
          <w:ilvl w:val="0"/>
          <w:numId w:val="23"/>
        </w:numPr>
      </w:pPr>
      <w:r w:rsidRPr="00F86C7D">
        <w:t>The member is able to make an informed decision to engage in treatment.</w:t>
      </w:r>
    </w:p>
    <w:p w14:paraId="7F880A2B" w14:textId="77777777" w:rsidR="00481D65" w:rsidRPr="00F86C7D" w:rsidRDefault="00481D65" w:rsidP="00BC07BE">
      <w:pPr>
        <w:pStyle w:val="ListParagraph"/>
        <w:numPr>
          <w:ilvl w:val="0"/>
          <w:numId w:val="23"/>
        </w:numPr>
      </w:pPr>
      <w:r w:rsidRPr="00F86C7D">
        <w:t>The member will receive the requested medication concomitantly with gender-affirming hormones.</w:t>
      </w:r>
    </w:p>
    <w:p w14:paraId="20FB2176" w14:textId="77777777" w:rsidR="00481D65" w:rsidRPr="00F86C7D" w:rsidRDefault="00481D65" w:rsidP="00BC07BE">
      <w:pPr>
        <w:pStyle w:val="ListParagraph"/>
        <w:numPr>
          <w:ilvl w:val="0"/>
          <w:numId w:val="23"/>
        </w:numPr>
      </w:pPr>
      <w:r w:rsidRPr="00F86C7D">
        <w:t>The member’s comorbid conditions are reasonably controlled.</w:t>
      </w:r>
    </w:p>
    <w:p w14:paraId="1DFDC719" w14:textId="77777777" w:rsidR="0080360C" w:rsidRPr="00F86C7D" w:rsidRDefault="00481D65" w:rsidP="00BC07BE">
      <w:pPr>
        <w:pStyle w:val="ListParagraph"/>
        <w:numPr>
          <w:ilvl w:val="0"/>
          <w:numId w:val="23"/>
        </w:numPr>
      </w:pPr>
      <w:r w:rsidRPr="00F86C7D">
        <w:t>The member has been educated on any contraindications and side effects to therapy.</w:t>
      </w:r>
    </w:p>
    <w:p w14:paraId="30708AA0" w14:textId="772693B7" w:rsidR="00165258" w:rsidRPr="00F86C7D" w:rsidRDefault="00481D65" w:rsidP="00BC07BE">
      <w:pPr>
        <w:pStyle w:val="ListParagraph"/>
        <w:numPr>
          <w:ilvl w:val="0"/>
          <w:numId w:val="23"/>
        </w:numPr>
      </w:pPr>
      <w:r w:rsidRPr="00F86C7D">
        <w:t>The member has been informed of fertility preservation options</w:t>
      </w:r>
      <w:r w:rsidR="00165258" w:rsidRPr="00F86C7D">
        <w:t>.</w:t>
      </w:r>
    </w:p>
    <w:p w14:paraId="12397D71" w14:textId="428E1BF0" w:rsidR="0080360C" w:rsidRPr="00F86C7D" w:rsidRDefault="00A501AC" w:rsidP="0080360C">
      <w:pPr>
        <w:pStyle w:val="Heading2"/>
      </w:pPr>
      <w:r w:rsidRPr="00F86C7D">
        <w:t>Continuation of Therapy</w:t>
      </w:r>
    </w:p>
    <w:p w14:paraId="65A3DAA1" w14:textId="50442F0D" w:rsidR="0080360C" w:rsidRPr="00F86C7D" w:rsidRDefault="0080360C" w:rsidP="0080360C">
      <w:pPr>
        <w:pStyle w:val="Heading3"/>
      </w:pPr>
      <w:r w:rsidRPr="00F86C7D">
        <w:t xml:space="preserve">Prostate </w:t>
      </w:r>
      <w:r w:rsidR="00137C34" w:rsidRPr="00F86C7D">
        <w:t>Cancer</w:t>
      </w:r>
    </w:p>
    <w:p w14:paraId="5A073F48" w14:textId="77777777" w:rsidR="0080360C" w:rsidRPr="00F86C7D" w:rsidRDefault="0080360C" w:rsidP="0080360C">
      <w:pPr>
        <w:pStyle w:val="BodyText"/>
      </w:pPr>
      <w:r w:rsidRPr="00F86C7D">
        <w:t>Authorization of 12 months may be granted for continued treatment in members requesting reauthorization who are experiencing clinical benefit to therapy (e.g., serum testosterone less than 50 ng/dL) and who have not experienced an unacceptable toxicity.</w:t>
      </w:r>
    </w:p>
    <w:p w14:paraId="6313A377" w14:textId="22088EAB" w:rsidR="0080360C" w:rsidRPr="00F86C7D" w:rsidRDefault="0080360C" w:rsidP="0080360C">
      <w:pPr>
        <w:pStyle w:val="Heading3"/>
      </w:pPr>
      <w:r w:rsidRPr="00F86C7D">
        <w:t xml:space="preserve">Breast </w:t>
      </w:r>
      <w:r w:rsidR="00137C34" w:rsidRPr="00F86C7D">
        <w:t>Cancer – Ovarian Suppression</w:t>
      </w:r>
    </w:p>
    <w:p w14:paraId="0373052B" w14:textId="77777777" w:rsidR="0080360C" w:rsidRPr="000D6641" w:rsidRDefault="0080360C" w:rsidP="0080360C">
      <w:pPr>
        <w:rPr>
          <w:bCs/>
          <w:szCs w:val="22"/>
        </w:rPr>
      </w:pPr>
      <w:r w:rsidRPr="00F86C7D">
        <w:rPr>
          <w:rStyle w:val="BodyTextChar"/>
        </w:rPr>
        <w:t>Authorization of 12 months may be granted (up to 5 years total) for continued treatment in members requesting reauthorization who were premenopausal at diagnosis and are still undergoing treatment with endocrine therapy</w:t>
      </w:r>
      <w:r w:rsidRPr="000D6641">
        <w:rPr>
          <w:bCs/>
          <w:szCs w:val="22"/>
        </w:rPr>
        <w:t>.</w:t>
      </w:r>
    </w:p>
    <w:p w14:paraId="6E99FC8A" w14:textId="144E4A74" w:rsidR="0080360C" w:rsidRPr="00F86C7D" w:rsidRDefault="0080360C" w:rsidP="0080360C">
      <w:pPr>
        <w:pStyle w:val="Heading3"/>
      </w:pPr>
      <w:r w:rsidRPr="00F86C7D">
        <w:t xml:space="preserve">Gender </w:t>
      </w:r>
      <w:r w:rsidR="00137C34" w:rsidRPr="00F86C7D">
        <w:t>Dysphoria</w:t>
      </w:r>
      <w:r w:rsidR="00137C34" w:rsidRPr="00F86C7D">
        <w:rPr>
          <w:vertAlign w:val="superscript"/>
        </w:rPr>
        <w:t>1</w:t>
      </w:r>
      <w:r w:rsidR="00CF4049">
        <w:rPr>
          <w:vertAlign w:val="superscript"/>
        </w:rPr>
        <w:t>3</w:t>
      </w:r>
    </w:p>
    <w:p w14:paraId="247A23A2" w14:textId="77777777" w:rsidR="0080360C" w:rsidRPr="00F86C7D" w:rsidRDefault="0080360C" w:rsidP="00137C34">
      <w:pPr>
        <w:pStyle w:val="BodyText"/>
      </w:pPr>
      <w:bookmarkStart w:id="2" w:name="OLE_LINK38"/>
      <w:bookmarkStart w:id="3" w:name="OLE_LINK39"/>
      <w:bookmarkStart w:id="4" w:name="OLE_LINK50"/>
      <w:r w:rsidRPr="00F86C7D">
        <w:t>Authorization of 12 months may be granted for continued treatment for pubertal hormonal suppression in adolescent members requesting reauthorization when all of the following criteria are met:</w:t>
      </w:r>
    </w:p>
    <w:p w14:paraId="7CB5CE19" w14:textId="77777777" w:rsidR="0080360C" w:rsidRPr="00F86C7D" w:rsidRDefault="0080360C" w:rsidP="00BC07BE">
      <w:pPr>
        <w:pStyle w:val="ListParagraph"/>
        <w:numPr>
          <w:ilvl w:val="0"/>
          <w:numId w:val="24"/>
        </w:numPr>
      </w:pPr>
      <w:r w:rsidRPr="00F86C7D">
        <w:t>The member has a diagnosis of gender dysphoria.</w:t>
      </w:r>
    </w:p>
    <w:p w14:paraId="65B08386" w14:textId="77777777" w:rsidR="0080360C" w:rsidRPr="00F86C7D" w:rsidRDefault="0080360C" w:rsidP="00BC07BE">
      <w:pPr>
        <w:pStyle w:val="ListParagraph"/>
        <w:numPr>
          <w:ilvl w:val="0"/>
          <w:numId w:val="24"/>
        </w:numPr>
      </w:pPr>
      <w:r w:rsidRPr="00F86C7D">
        <w:t>The member is able to make an informed decision to engage in treatment.</w:t>
      </w:r>
    </w:p>
    <w:p w14:paraId="3FB2A1FE" w14:textId="77777777" w:rsidR="0080360C" w:rsidRPr="00F86C7D" w:rsidRDefault="0080360C" w:rsidP="00BC07BE">
      <w:pPr>
        <w:pStyle w:val="ListParagraph"/>
        <w:numPr>
          <w:ilvl w:val="0"/>
          <w:numId w:val="24"/>
        </w:numPr>
      </w:pPr>
      <w:r w:rsidRPr="00F86C7D">
        <w:t>The member has previously reached Tanner stage 2 of puberty or greater.</w:t>
      </w:r>
    </w:p>
    <w:p w14:paraId="42FD5FD8" w14:textId="77777777" w:rsidR="0080360C" w:rsidRPr="00F86C7D" w:rsidRDefault="0080360C" w:rsidP="00BC07BE">
      <w:pPr>
        <w:pStyle w:val="ListParagraph"/>
        <w:numPr>
          <w:ilvl w:val="0"/>
          <w:numId w:val="24"/>
        </w:numPr>
      </w:pPr>
      <w:r w:rsidRPr="00F86C7D">
        <w:t>The member’s comorbid conditions are reasonably controlled.</w:t>
      </w:r>
    </w:p>
    <w:p w14:paraId="0D52C1C1" w14:textId="77777777" w:rsidR="0080360C" w:rsidRPr="00F86C7D" w:rsidRDefault="0080360C" w:rsidP="00BC07BE">
      <w:pPr>
        <w:pStyle w:val="ListParagraph"/>
        <w:numPr>
          <w:ilvl w:val="0"/>
          <w:numId w:val="24"/>
        </w:numPr>
      </w:pPr>
      <w:r w:rsidRPr="00F86C7D">
        <w:t>The member has been educated on any contraindications and side effects to therapy.</w:t>
      </w:r>
    </w:p>
    <w:p w14:paraId="3ADFCC40" w14:textId="77777777" w:rsidR="0080360C" w:rsidRPr="00F86C7D" w:rsidRDefault="0080360C" w:rsidP="00BC07BE">
      <w:pPr>
        <w:pStyle w:val="ListParagraph"/>
        <w:numPr>
          <w:ilvl w:val="0"/>
          <w:numId w:val="24"/>
        </w:numPr>
        <w:spacing w:after="120"/>
      </w:pPr>
      <w:r w:rsidRPr="00F86C7D">
        <w:t>Before the start of therapy, the member has been informed of fertility preservation options.</w:t>
      </w:r>
    </w:p>
    <w:p w14:paraId="36AB8380" w14:textId="77777777" w:rsidR="0080360C" w:rsidRPr="00CF4049" w:rsidRDefault="0080360C" w:rsidP="00137C34">
      <w:pPr>
        <w:pStyle w:val="BodyText"/>
      </w:pPr>
      <w:r w:rsidRPr="00F86C7D">
        <w:t>Authorization of 12 months may be granted for continued treatment for gender transition in members requesting reauthorization when all of the following criteria are met</w:t>
      </w:r>
      <w:r w:rsidRPr="00CF4049">
        <w:t>:</w:t>
      </w:r>
    </w:p>
    <w:p w14:paraId="6CE08D94" w14:textId="77777777" w:rsidR="0080360C" w:rsidRPr="00F86C7D" w:rsidRDefault="0080360C" w:rsidP="00BC07BE">
      <w:pPr>
        <w:pStyle w:val="ListParagraph"/>
        <w:numPr>
          <w:ilvl w:val="0"/>
          <w:numId w:val="25"/>
        </w:numPr>
      </w:pPr>
      <w:r w:rsidRPr="00F86C7D">
        <w:t>The member has a diagnosis of gender dysphoria.</w:t>
      </w:r>
    </w:p>
    <w:p w14:paraId="7DA45CED" w14:textId="77777777" w:rsidR="0080360C" w:rsidRPr="00F86C7D" w:rsidRDefault="0080360C" w:rsidP="00BC07BE">
      <w:pPr>
        <w:pStyle w:val="ListParagraph"/>
        <w:numPr>
          <w:ilvl w:val="0"/>
          <w:numId w:val="25"/>
        </w:numPr>
      </w:pPr>
      <w:r w:rsidRPr="00F86C7D">
        <w:t>The member is able to make an informed decision to engage in treatment.</w:t>
      </w:r>
    </w:p>
    <w:p w14:paraId="258DDB2C" w14:textId="77777777" w:rsidR="0080360C" w:rsidRPr="00F86C7D" w:rsidRDefault="0080360C" w:rsidP="00BC07BE">
      <w:pPr>
        <w:pStyle w:val="ListParagraph"/>
        <w:numPr>
          <w:ilvl w:val="0"/>
          <w:numId w:val="25"/>
        </w:numPr>
      </w:pPr>
      <w:r w:rsidRPr="00F86C7D">
        <w:t>The member will receive the requested medication concomitantly with gender-affirming hormones.</w:t>
      </w:r>
    </w:p>
    <w:p w14:paraId="4E1DF030" w14:textId="77777777" w:rsidR="0080360C" w:rsidRPr="00F86C7D" w:rsidRDefault="0080360C" w:rsidP="00BC07BE">
      <w:pPr>
        <w:pStyle w:val="ListParagraph"/>
        <w:numPr>
          <w:ilvl w:val="0"/>
          <w:numId w:val="25"/>
        </w:numPr>
      </w:pPr>
      <w:r w:rsidRPr="00F86C7D">
        <w:t>The member’s comorbid conditions are reasonably controlled.</w:t>
      </w:r>
    </w:p>
    <w:p w14:paraId="6D944D08" w14:textId="77777777" w:rsidR="0080360C" w:rsidRPr="00F86C7D" w:rsidRDefault="0080360C" w:rsidP="00BC07BE">
      <w:pPr>
        <w:pStyle w:val="ListParagraph"/>
        <w:numPr>
          <w:ilvl w:val="0"/>
          <w:numId w:val="25"/>
        </w:numPr>
      </w:pPr>
      <w:r w:rsidRPr="00F86C7D">
        <w:t>The member has been educated on any contraindications and side effects to therapy.</w:t>
      </w:r>
    </w:p>
    <w:p w14:paraId="6D5C25D0" w14:textId="77777777" w:rsidR="0080360C" w:rsidRPr="00F86C7D" w:rsidRDefault="0080360C" w:rsidP="00BC07BE">
      <w:pPr>
        <w:pStyle w:val="ListParagraph"/>
        <w:numPr>
          <w:ilvl w:val="0"/>
          <w:numId w:val="25"/>
        </w:numPr>
      </w:pPr>
      <w:r w:rsidRPr="00F86C7D">
        <w:t>Before the start of therapy, the member has been informed of fertility preservation options</w:t>
      </w:r>
      <w:bookmarkEnd w:id="2"/>
      <w:bookmarkEnd w:id="3"/>
      <w:r w:rsidRPr="00F86C7D">
        <w:t>.</w:t>
      </w:r>
      <w:bookmarkEnd w:id="4"/>
    </w:p>
    <w:p w14:paraId="13ACB5AC" w14:textId="77777777" w:rsidR="0019596C" w:rsidRPr="00E57C46" w:rsidRDefault="0019596C" w:rsidP="0019596C">
      <w:pPr>
        <w:pStyle w:val="Heading3"/>
      </w:pPr>
      <w:r>
        <w:t>Salivary Gland Tumor and Uterine Sarcoma</w:t>
      </w:r>
    </w:p>
    <w:p w14:paraId="63C23497" w14:textId="77777777" w:rsidR="0019596C" w:rsidRPr="00232DD8" w:rsidRDefault="0019596C" w:rsidP="0019596C">
      <w:pPr>
        <w:pStyle w:val="BodyText"/>
      </w:pPr>
      <w:r w:rsidRPr="00F86C7D">
        <w:t xml:space="preserve">Authorization of 12 months may be granted for continued treatment in members requesting reauthorization </w:t>
      </w:r>
      <w:r>
        <w:t>when there is no evidence of</w:t>
      </w:r>
      <w:r w:rsidRPr="00F86C7D">
        <w:t xml:space="preserve"> unacceptable toxicity</w:t>
      </w:r>
      <w:r>
        <w:t xml:space="preserve"> or disease progression while on the current regimen</w:t>
      </w:r>
      <w:r w:rsidRPr="00F86C7D">
        <w:t>.</w:t>
      </w:r>
    </w:p>
    <w:p w14:paraId="03238AC9" w14:textId="69AF7D6C" w:rsidR="0080360C" w:rsidRPr="00F86C7D" w:rsidRDefault="0080360C" w:rsidP="0080360C">
      <w:pPr>
        <w:pStyle w:val="Heading3"/>
      </w:pPr>
      <w:r w:rsidRPr="00F86C7D">
        <w:t xml:space="preserve">Preservation </w:t>
      </w:r>
      <w:r w:rsidR="00137C34" w:rsidRPr="00F86C7D">
        <w:t>of Ovarian Function</w:t>
      </w:r>
    </w:p>
    <w:p w14:paraId="270AD541" w14:textId="664C5278" w:rsidR="0080360C" w:rsidRPr="00F86C7D" w:rsidRDefault="0080360C" w:rsidP="0080360C">
      <w:pPr>
        <w:pStyle w:val="BodyText"/>
      </w:pPr>
      <w:r w:rsidRPr="00F86C7D">
        <w:t xml:space="preserve">All members (including new members) requesting authorization for continuation of therapy for preservation of ovarian function must meet all </w:t>
      </w:r>
      <w:r w:rsidR="003741D1">
        <w:t>requirements in the coverage criteria section</w:t>
      </w:r>
      <w:r w:rsidR="009310E9" w:rsidRPr="00F86C7D">
        <w:t>.</w:t>
      </w:r>
    </w:p>
    <w:p w14:paraId="05B6DEFF" w14:textId="3A9C7C8C" w:rsidR="008B1332" w:rsidRPr="00F86C7D" w:rsidRDefault="008B1332" w:rsidP="008B1332">
      <w:pPr>
        <w:pStyle w:val="Heading2"/>
      </w:pPr>
      <w:r w:rsidRPr="00F86C7D">
        <w:t>Other</w:t>
      </w:r>
    </w:p>
    <w:p w14:paraId="7A2343C5" w14:textId="76CCFF1F" w:rsidR="00D24F6F" w:rsidRPr="00F86C7D" w:rsidRDefault="0080360C" w:rsidP="00D24F6F">
      <w:pPr>
        <w:pStyle w:val="BodyText"/>
      </w:pPr>
      <w:r w:rsidRPr="00F86C7D">
        <w:t>Per state regulatory guidelines around gender dysphoria, age restrictions may apply</w:t>
      </w:r>
      <w:r w:rsidR="00D24F6F" w:rsidRPr="00F86C7D">
        <w:t>.</w:t>
      </w:r>
    </w:p>
    <w:p w14:paraId="10DA4309" w14:textId="0769FFA3" w:rsidR="00FF66BF" w:rsidRPr="00F86C7D" w:rsidRDefault="00FF66BF" w:rsidP="00FF66BF">
      <w:pPr>
        <w:pStyle w:val="Heading2"/>
      </w:pPr>
      <w:r w:rsidRPr="00F86C7D">
        <w:t>References</w:t>
      </w:r>
    </w:p>
    <w:p w14:paraId="2E0CB9EE" w14:textId="12180829" w:rsidR="003F7005" w:rsidRPr="00F86C7D" w:rsidRDefault="003F7005" w:rsidP="003F7005">
      <w:pPr>
        <w:pStyle w:val="ReferenceOrdered"/>
      </w:pPr>
      <w:r w:rsidRPr="00F86C7D">
        <w:t xml:space="preserve">Trelstar [package insert]. Ewing, NJ: Verity Pharmaceuticals, Inc.; </w:t>
      </w:r>
      <w:r w:rsidR="0019596C">
        <w:t>April</w:t>
      </w:r>
      <w:r w:rsidRPr="00F86C7D">
        <w:t xml:space="preserve"> 202</w:t>
      </w:r>
      <w:r w:rsidR="0019596C">
        <w:t>4</w:t>
      </w:r>
      <w:r w:rsidRPr="00F86C7D">
        <w:t>.</w:t>
      </w:r>
    </w:p>
    <w:p w14:paraId="394599FB" w14:textId="0F22D8A3" w:rsidR="003F7005" w:rsidRPr="00F86C7D" w:rsidRDefault="003F7005" w:rsidP="003F7005">
      <w:pPr>
        <w:pStyle w:val="ReferenceOrdered"/>
      </w:pPr>
      <w:r w:rsidRPr="00F86C7D">
        <w:t>The NCCN Drugs &amp; Biologics Compendium® © 202</w:t>
      </w:r>
      <w:r w:rsidR="0019596C">
        <w:t>5</w:t>
      </w:r>
      <w:r w:rsidRPr="00F86C7D">
        <w:t xml:space="preserve"> National Comprehensive Cancer Network, Inc. http://www.nccn.org. Accessed February </w:t>
      </w:r>
      <w:r w:rsidR="0019596C">
        <w:t>12</w:t>
      </w:r>
      <w:r w:rsidRPr="00F86C7D">
        <w:t>, 202</w:t>
      </w:r>
      <w:r w:rsidR="0019596C">
        <w:t>5</w:t>
      </w:r>
      <w:r w:rsidRPr="00F86C7D">
        <w:t>.</w:t>
      </w:r>
    </w:p>
    <w:p w14:paraId="3E3106B4" w14:textId="339FF996" w:rsidR="003F7005" w:rsidRPr="00F86C7D" w:rsidRDefault="003F7005" w:rsidP="003F7005">
      <w:pPr>
        <w:pStyle w:val="ReferenceOrdered"/>
      </w:pPr>
      <w:proofErr w:type="spellStart"/>
      <w:r w:rsidRPr="00F86C7D">
        <w:t>Hembree</w:t>
      </w:r>
      <w:proofErr w:type="spellEnd"/>
      <w:r w:rsidRPr="00F86C7D">
        <w:t xml:space="preserve"> WC, Cohen-</w:t>
      </w:r>
      <w:proofErr w:type="spellStart"/>
      <w:r w:rsidRPr="00F86C7D">
        <w:t>Kettenis</w:t>
      </w:r>
      <w:proofErr w:type="spellEnd"/>
      <w:r w:rsidRPr="00F86C7D">
        <w:t xml:space="preserve"> PT, </w:t>
      </w:r>
      <w:proofErr w:type="spellStart"/>
      <w:r w:rsidRPr="00F86C7D">
        <w:t>Gooren</w:t>
      </w:r>
      <w:proofErr w:type="spellEnd"/>
      <w:r w:rsidRPr="00F86C7D">
        <w:t xml:space="preserve"> L, et al. Endocrine treatment of gender-dysphoric/gender-incongruent persons: an Endocrine Society clinical practice guideline. J Clin Endocrinol Metab. 2017:102(11):3869–3903.</w:t>
      </w:r>
    </w:p>
    <w:p w14:paraId="79DAFD08" w14:textId="77777777" w:rsidR="003F7005" w:rsidRPr="00F86C7D" w:rsidRDefault="003F7005" w:rsidP="003F7005">
      <w:pPr>
        <w:pStyle w:val="ReferenceOrdered"/>
      </w:pPr>
      <w:r w:rsidRPr="00F86C7D">
        <w:t>Gender Identity Research and Education Society. Guidance for GPs and other clinicians on the treatment of gender variant people. UK Department of Health. Published March 10, 2008.</w:t>
      </w:r>
    </w:p>
    <w:p w14:paraId="612A0D59" w14:textId="77777777" w:rsidR="003F7005" w:rsidRPr="00F86C7D" w:rsidRDefault="003F7005" w:rsidP="003F7005">
      <w:pPr>
        <w:pStyle w:val="ReferenceOrdered"/>
      </w:pPr>
      <w:r w:rsidRPr="00F86C7D">
        <w:rPr>
          <w:lang w:val="fr-FR"/>
        </w:rPr>
        <w:t xml:space="preserve">Coleman E, </w:t>
      </w:r>
      <w:proofErr w:type="spellStart"/>
      <w:r w:rsidRPr="00F86C7D">
        <w:rPr>
          <w:lang w:val="fr-FR"/>
        </w:rPr>
        <w:t>Radix</w:t>
      </w:r>
      <w:proofErr w:type="spellEnd"/>
      <w:r w:rsidRPr="00F86C7D">
        <w:rPr>
          <w:lang w:val="fr-FR"/>
        </w:rPr>
        <w:t xml:space="preserve"> AE, Brown GR, et al. </w:t>
      </w:r>
      <w:r w:rsidRPr="00F86C7D">
        <w:t xml:space="preserve">Standards of care for the health of transgender and gender diverse people, version 8. 2022;23(Suppl 1):S1-S259. </w:t>
      </w:r>
      <w:proofErr w:type="spellStart"/>
      <w:r w:rsidRPr="00F86C7D">
        <w:t>doi</w:t>
      </w:r>
      <w:proofErr w:type="spellEnd"/>
      <w:r w:rsidRPr="00F86C7D">
        <w:t>: 10.1080/26895269.2022.2100644</w:t>
      </w:r>
    </w:p>
    <w:p w14:paraId="5F5F8E23" w14:textId="3EA7AAEE" w:rsidR="003F7005" w:rsidRPr="00F86C7D" w:rsidRDefault="003F7005" w:rsidP="003F7005">
      <w:pPr>
        <w:pStyle w:val="ReferenceOrdered"/>
      </w:pPr>
      <w:r w:rsidRPr="00F86C7D">
        <w:t>DRUGDEX® System (electronic version). Truven Health Analytics, Ann Arbor, MI. Available at http://www.micromedexsolutions.com.</w:t>
      </w:r>
      <w:r w:rsidRPr="00F86C7D">
        <w:rPr>
          <w:rFonts w:ascii="Arial" w:hAnsi="Arial"/>
        </w:rPr>
        <w:t> </w:t>
      </w:r>
      <w:r w:rsidRPr="00F86C7D">
        <w:t xml:space="preserve">Accessed February </w:t>
      </w:r>
      <w:r w:rsidR="0019596C">
        <w:t>12</w:t>
      </w:r>
      <w:r w:rsidRPr="00F86C7D">
        <w:t>, 202</w:t>
      </w:r>
      <w:r w:rsidR="0019596C">
        <w:t>5</w:t>
      </w:r>
      <w:r w:rsidRPr="00F86C7D">
        <w:t>.</w:t>
      </w:r>
    </w:p>
    <w:p w14:paraId="6FDCC3FB" w14:textId="77777777" w:rsidR="003F7005" w:rsidRPr="00F86C7D" w:rsidRDefault="003F7005" w:rsidP="003F7005">
      <w:pPr>
        <w:pStyle w:val="ReferenceOrdered"/>
      </w:pPr>
      <w:proofErr w:type="spellStart"/>
      <w:r w:rsidRPr="00F86C7D">
        <w:t>Clowse</w:t>
      </w:r>
      <w:proofErr w:type="spellEnd"/>
      <w:r w:rsidRPr="00F86C7D">
        <w:t xml:space="preserve"> MEB, Behera MA, Anders CK, et al. Ovarian preservation by GnRH agonists during chemotherapy: a meta-analysis. J </w:t>
      </w:r>
      <w:proofErr w:type="spellStart"/>
      <w:r w:rsidRPr="00F86C7D">
        <w:t>Womens</w:t>
      </w:r>
      <w:proofErr w:type="spellEnd"/>
      <w:r w:rsidRPr="00F86C7D">
        <w:t xml:space="preserve"> Health (</w:t>
      </w:r>
      <w:proofErr w:type="spellStart"/>
      <w:r w:rsidRPr="00F86C7D">
        <w:t>Larchmt</w:t>
      </w:r>
      <w:proofErr w:type="spellEnd"/>
      <w:r w:rsidRPr="00F86C7D">
        <w:t>). 2009 Mar; 18(3): 311–319. doi:10.1089/jwh.2008.0857.</w:t>
      </w:r>
    </w:p>
    <w:p w14:paraId="03576A46" w14:textId="1B36C0A4" w:rsidR="003F7005" w:rsidRPr="00F86C7D" w:rsidRDefault="003F7005" w:rsidP="003F7005">
      <w:pPr>
        <w:pStyle w:val="ReferenceOrdered"/>
      </w:pPr>
      <w:proofErr w:type="spellStart"/>
      <w:r w:rsidRPr="00F86C7D">
        <w:t>Munhoz</w:t>
      </w:r>
      <w:proofErr w:type="spellEnd"/>
      <w:r w:rsidRPr="00F86C7D">
        <w:t xml:space="preserve"> RR, et al. The role of LHRH agonists in ovarian function preservation in premenopausal women undergoing chemotherapy for early stage breast cancer: A systematic review and meta-analysis. Poster presented at: ASCO; May 29-June 2, 2015; Chicago, IL.</w:t>
      </w:r>
    </w:p>
    <w:p w14:paraId="03007ED7" w14:textId="77777777" w:rsidR="0002776D" w:rsidRDefault="003F7005" w:rsidP="003F7005">
      <w:pPr>
        <w:pStyle w:val="ReferenceOrdered"/>
      </w:pPr>
      <w:proofErr w:type="spellStart"/>
      <w:r w:rsidRPr="00F86C7D">
        <w:t>Oktay</w:t>
      </w:r>
      <w:proofErr w:type="spellEnd"/>
      <w:r w:rsidRPr="00F86C7D">
        <w:t xml:space="preserve"> K, Harvey BE, et al: Fertility Preservation in Patients With Cancer: ASCO Clinical Practice Guideline Update. Journal of Clinical Oncology 36:1994-2003, 2018.</w:t>
      </w:r>
    </w:p>
    <w:p w14:paraId="24272E5E" w14:textId="2CCDFD98" w:rsidR="003F7005" w:rsidRPr="00F86C7D" w:rsidRDefault="003F7005" w:rsidP="003F7005">
      <w:pPr>
        <w:pStyle w:val="ReferenceOrdered"/>
      </w:pPr>
      <w:r w:rsidRPr="00F86C7D">
        <w:t>National Comprehensive Cancer Network. NCCN Clinical Practice Guidelines in Oncology: Breast Cancer. Version 1.202</w:t>
      </w:r>
      <w:r w:rsidR="0019596C">
        <w:t>5</w:t>
      </w:r>
      <w:r w:rsidRPr="00F86C7D">
        <w:t xml:space="preserve">. https://www.nccn.org/professionals/physician_gls/pdf/breast.pdf. Accessed February </w:t>
      </w:r>
      <w:r w:rsidR="0019596C">
        <w:t>1</w:t>
      </w:r>
      <w:r w:rsidRPr="00F86C7D">
        <w:t>7, 202</w:t>
      </w:r>
      <w:r w:rsidR="0019596C">
        <w:t>5</w:t>
      </w:r>
      <w:r w:rsidRPr="00F86C7D">
        <w:t>.</w:t>
      </w:r>
    </w:p>
    <w:p w14:paraId="0E2A8E2A" w14:textId="75867E5E" w:rsidR="003F7005" w:rsidRPr="00F86C7D" w:rsidRDefault="003F7005" w:rsidP="003F7005">
      <w:pPr>
        <w:pStyle w:val="ReferenceOrdered"/>
      </w:pPr>
      <w:r w:rsidRPr="00F86C7D">
        <w:t xml:space="preserve">AHFS DI (Adult and Pediatric) [database online]. Hudson, OH: Lexi-Comp, Inc.; http://online.lexi.com/lco/action/index/dataset/complete_ashp [available with subscription]. Accessed February </w:t>
      </w:r>
      <w:r w:rsidR="0019596C">
        <w:t>1</w:t>
      </w:r>
      <w:r w:rsidRPr="00F86C7D">
        <w:t>7, 202</w:t>
      </w:r>
      <w:r w:rsidR="0019596C">
        <w:t>5</w:t>
      </w:r>
      <w:r w:rsidRPr="00F86C7D">
        <w:t>.</w:t>
      </w:r>
    </w:p>
    <w:p w14:paraId="119C95B6" w14:textId="09AC7EDC" w:rsidR="003F7005" w:rsidRPr="00F86C7D" w:rsidRDefault="003F7005" w:rsidP="003F7005">
      <w:pPr>
        <w:pStyle w:val="ReferenceOrdered"/>
      </w:pPr>
      <w:r w:rsidRPr="00F86C7D">
        <w:t xml:space="preserve">Lexicomp [database online]. Hudson, OH: Lexi-Comp, Inc.; https://online.lexi.com/lco/action/home [available with subscription]. Accessed February </w:t>
      </w:r>
      <w:r w:rsidR="0019596C">
        <w:t>12</w:t>
      </w:r>
      <w:r w:rsidRPr="00F86C7D">
        <w:t>, 202</w:t>
      </w:r>
      <w:r w:rsidR="0019596C">
        <w:t>5</w:t>
      </w:r>
      <w:r w:rsidRPr="00F86C7D">
        <w:t>.</w:t>
      </w:r>
    </w:p>
    <w:p w14:paraId="3F28204A" w14:textId="77777777" w:rsidR="003F7005" w:rsidRPr="00F86C7D" w:rsidRDefault="003F7005" w:rsidP="003F7005">
      <w:pPr>
        <w:pStyle w:val="ReferenceOrdered"/>
      </w:pPr>
      <w:proofErr w:type="spellStart"/>
      <w:r w:rsidRPr="00F86C7D">
        <w:t>Mahfouda</w:t>
      </w:r>
      <w:proofErr w:type="spellEnd"/>
      <w:r w:rsidRPr="00F86C7D">
        <w:t xml:space="preserve"> S, Moore JK, </w:t>
      </w:r>
      <w:proofErr w:type="spellStart"/>
      <w:r w:rsidRPr="00F86C7D">
        <w:t>Siafarikas</w:t>
      </w:r>
      <w:proofErr w:type="spellEnd"/>
      <w:r w:rsidRPr="00F86C7D">
        <w:t xml:space="preserve"> A, et al. Puberty suppression in transgender children and adolescents. Lancet Diabetes Endocrinol. 2017;5:816-26.</w:t>
      </w:r>
    </w:p>
    <w:p w14:paraId="016B8111" w14:textId="77777777" w:rsidR="003F7005" w:rsidRPr="00F86C7D" w:rsidRDefault="003F7005" w:rsidP="003F7005">
      <w:pPr>
        <w:pStyle w:val="ReferenceOrdered"/>
      </w:pPr>
      <w:r w:rsidRPr="00F86C7D">
        <w:t>Health Care for Transgender and Gender Diverse Individuals. ©2021 The American College of Obstetricians and Gynecologists. Available at: https://www.acog.org/clinical/clinical-guidance/committee-opinion/articles/2021/03/health-care-for-transgender-and-gender-diverse-individuals.</w:t>
      </w:r>
    </w:p>
    <w:p w14:paraId="7B748EAD" w14:textId="4A68B1E3" w:rsidR="0019596C" w:rsidRPr="00F86C7D" w:rsidRDefault="0019596C" w:rsidP="003F7005">
      <w:pPr>
        <w:pStyle w:val="ReferenceOrdered"/>
      </w:pPr>
      <w:r>
        <w:t>NCCN Clinical Practice Guidelines in Oncology (NCCN Guidelines): Head and Neck Cancers. Version 2.2025. Accessed February 17, 2025. https://www.nccn.org/professionals/physician_gls/pdf/head-and-neck.pdf.</w:t>
      </w:r>
    </w:p>
    <w:sectPr w:rsidR="0019596C" w:rsidRPr="00F86C7D" w:rsidSect="00B77D6E">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65B4" w14:textId="77777777" w:rsidR="00334CA8" w:rsidRDefault="00334CA8">
      <w:r>
        <w:separator/>
      </w:r>
    </w:p>
  </w:endnote>
  <w:endnote w:type="continuationSeparator" w:id="0">
    <w:p w14:paraId="36E60E29" w14:textId="77777777" w:rsidR="00334CA8" w:rsidRDefault="00334CA8">
      <w:r>
        <w:continuationSeparator/>
      </w:r>
    </w:p>
  </w:endnote>
  <w:endnote w:type="continuationNotice" w:id="1">
    <w:p w14:paraId="27B1A25C" w14:textId="77777777" w:rsidR="00334CA8" w:rsidRDefault="00334C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CD897F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130B9">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B7393F" w:rsidRPr="00B7393F">
      <w:rPr>
        <w:rFonts w:cs="Arial"/>
        <w:noProof/>
        <w:sz w:val="16"/>
        <w:szCs w:val="16"/>
        <w:lang w:val="pt-PT"/>
      </w:rPr>
      <w:t>Trelstar</w:t>
    </w:r>
    <w:r w:rsidR="00B7393F">
      <w:rPr>
        <w:rFonts w:cs="Arial"/>
        <w:noProof/>
        <w:snapToGrid w:val="0"/>
        <w:color w:val="000000"/>
        <w:sz w:val="16"/>
        <w:szCs w:val="16"/>
        <w:lang w:val="pt-PT"/>
      </w:rPr>
      <w:t xml:space="preserve"> SGM 1968-A,</w:t>
    </w:r>
    <w:r w:rsidR="00B7393F" w:rsidRPr="00B7393F">
      <w:rPr>
        <w:rFonts w:cs="Arial"/>
        <w:noProof/>
        <w:sz w:val="16"/>
        <w:szCs w:val="16"/>
        <w:lang w:val="pt-PT"/>
      </w:rPr>
      <w:t xml:space="preserve"> 6053-A</w:t>
    </w:r>
    <w:r w:rsidR="00B7393F">
      <w:rPr>
        <w:rFonts w:cs="Arial"/>
        <w:noProof/>
        <w:snapToGrid w:val="0"/>
        <w:color w:val="000000"/>
        <w:sz w:val="16"/>
        <w:szCs w:val="16"/>
        <w:lang w:val="pt-PT"/>
      </w:rPr>
      <w:t xml:space="preserve"> P2025.docx</w:t>
    </w:r>
    <w:r w:rsidRPr="00EC47B6">
      <w:rPr>
        <w:rFonts w:cs="Arial"/>
        <w:noProof/>
        <w:sz w:val="16"/>
        <w:szCs w:val="16"/>
      </w:rPr>
      <w:fldChar w:fldCharType="end"/>
    </w:r>
    <w:r w:rsidRPr="009130B9">
      <w:rPr>
        <w:rFonts w:cs="Arial"/>
        <w:snapToGrid w:val="0"/>
        <w:color w:val="000000"/>
        <w:sz w:val="16"/>
        <w:lang w:val="pt-PT"/>
      </w:rPr>
      <w:tab/>
      <w:t>© 202</w:t>
    </w:r>
    <w:r w:rsidR="0019596C">
      <w:rPr>
        <w:rFonts w:cs="Arial"/>
        <w:snapToGrid w:val="0"/>
        <w:color w:val="000000"/>
        <w:sz w:val="16"/>
        <w:lang w:val="pt-PT"/>
      </w:rPr>
      <w:t>5</w:t>
    </w:r>
    <w:r w:rsidRPr="009130B9">
      <w:rPr>
        <w:rFonts w:cs="Arial"/>
        <w:snapToGrid w:val="0"/>
        <w:color w:val="000000"/>
        <w:sz w:val="16"/>
        <w:lang w:val="pt-PT"/>
      </w:rPr>
      <w:t xml:space="preserve"> CVS Caremark. </w:t>
    </w:r>
    <w:r w:rsidRPr="00EC47B6">
      <w:rPr>
        <w:rFonts w:cs="Arial"/>
        <w:snapToGrid w:val="0"/>
        <w:color w:val="000000"/>
        <w:sz w:val="16"/>
      </w:rPr>
      <w:t>All rights reserved.</w:t>
    </w:r>
  </w:p>
  <w:p w14:paraId="61CF5924" w14:textId="0D98E5D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96684E8" w:rsidR="00F75C81" w:rsidRPr="00AA1E6A" w:rsidRDefault="00C36B72" w:rsidP="00161E8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CA29BF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130B9">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B7393F" w:rsidRPr="00B7393F">
      <w:rPr>
        <w:rFonts w:cs="Arial"/>
        <w:noProof/>
        <w:sz w:val="16"/>
        <w:szCs w:val="16"/>
        <w:lang w:val="pt-PT"/>
      </w:rPr>
      <w:t>Trelstar</w:t>
    </w:r>
    <w:r w:rsidR="00B7393F">
      <w:rPr>
        <w:rFonts w:cs="Arial"/>
        <w:noProof/>
        <w:snapToGrid w:val="0"/>
        <w:color w:val="000000"/>
        <w:sz w:val="16"/>
        <w:szCs w:val="16"/>
        <w:lang w:val="pt-PT"/>
      </w:rPr>
      <w:t xml:space="preserve"> SGM 1968-A,</w:t>
    </w:r>
    <w:r w:rsidR="00B7393F" w:rsidRPr="00B7393F">
      <w:rPr>
        <w:rFonts w:cs="Arial"/>
        <w:noProof/>
        <w:sz w:val="16"/>
        <w:szCs w:val="16"/>
        <w:lang w:val="pt-PT"/>
      </w:rPr>
      <w:t xml:space="preserve"> 6053-A</w:t>
    </w:r>
    <w:r w:rsidR="00B7393F">
      <w:rPr>
        <w:rFonts w:cs="Arial"/>
        <w:noProof/>
        <w:snapToGrid w:val="0"/>
        <w:color w:val="000000"/>
        <w:sz w:val="16"/>
        <w:szCs w:val="16"/>
        <w:lang w:val="pt-PT"/>
      </w:rPr>
      <w:t xml:space="preserve"> P2025.docx</w:t>
    </w:r>
    <w:r w:rsidRPr="00EC47B6">
      <w:rPr>
        <w:rFonts w:cs="Arial"/>
        <w:noProof/>
        <w:sz w:val="16"/>
        <w:szCs w:val="16"/>
      </w:rPr>
      <w:fldChar w:fldCharType="end"/>
    </w:r>
    <w:r w:rsidRPr="009130B9">
      <w:rPr>
        <w:rFonts w:cs="Arial"/>
        <w:snapToGrid w:val="0"/>
        <w:color w:val="000000"/>
        <w:sz w:val="16"/>
        <w:lang w:val="pt-PT"/>
      </w:rPr>
      <w:tab/>
      <w:t xml:space="preserve">© </w:t>
    </w:r>
    <w:r w:rsidRPr="009130B9">
      <w:rPr>
        <w:rFonts w:cs="Arial"/>
        <w:snapToGrid w:val="0"/>
        <w:color w:val="000000"/>
        <w:sz w:val="16"/>
        <w:lang w:val="pt-PT"/>
      </w:rPr>
      <w:t>202</w:t>
    </w:r>
    <w:r w:rsidR="0019596C">
      <w:rPr>
        <w:rFonts w:cs="Arial"/>
        <w:snapToGrid w:val="0"/>
        <w:color w:val="000000"/>
        <w:sz w:val="16"/>
        <w:lang w:val="pt-PT"/>
      </w:rPr>
      <w:t>5</w:t>
    </w:r>
    <w:r w:rsidRPr="009130B9">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55D4D5D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CA62F30" w:rsidR="00ED04EC" w:rsidRPr="00F50D98" w:rsidRDefault="00F50D98" w:rsidP="00161E8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F4CAD" w14:textId="77777777" w:rsidR="00334CA8" w:rsidRDefault="00334CA8">
      <w:r>
        <w:separator/>
      </w:r>
    </w:p>
  </w:footnote>
  <w:footnote w:type="continuationSeparator" w:id="0">
    <w:p w14:paraId="165B4518" w14:textId="77777777" w:rsidR="00334CA8" w:rsidRDefault="00334CA8">
      <w:r>
        <w:continuationSeparator/>
      </w:r>
    </w:p>
  </w:footnote>
  <w:footnote w:type="continuationNotice" w:id="1">
    <w:p w14:paraId="47382972" w14:textId="77777777" w:rsidR="00334CA8" w:rsidRDefault="00334C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F86C7D" w:rsidRDefault="00ED04EC" w:rsidP="00ED04EC">
          <w:pPr>
            <w:pStyle w:val="Header"/>
            <w:rPr>
              <w:rFonts w:cs="Arial"/>
              <w:sz w:val="16"/>
              <w:szCs w:val="16"/>
            </w:rPr>
          </w:pPr>
          <w:r w:rsidRPr="00F86C7D">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372268B" w:rsidR="00A71D7C" w:rsidRPr="00F86C7D" w:rsidRDefault="00A71D7C" w:rsidP="00ED04EC">
          <w:pPr>
            <w:pStyle w:val="Header"/>
            <w:rPr>
              <w:rFonts w:cs="Arial"/>
              <w:sz w:val="16"/>
              <w:szCs w:val="16"/>
            </w:rPr>
          </w:pPr>
          <w:r w:rsidRPr="00F86C7D">
            <w:rPr>
              <w:rFonts w:cs="Arial"/>
              <w:sz w:val="16"/>
              <w:szCs w:val="16"/>
            </w:rPr>
            <w:t>1968-A,</w:t>
          </w:r>
          <w:r w:rsidR="00271B40" w:rsidRPr="00F86C7D">
            <w:rPr>
              <w:rFonts w:cs="Arial"/>
              <w:sz w:val="16"/>
              <w:szCs w:val="16"/>
            </w:rPr>
            <w:t xml:space="preserve"> </w:t>
          </w:r>
          <w:r w:rsidRPr="00F86C7D">
            <w:rPr>
              <w:rFonts w:cs="Arial"/>
              <w:sz w:val="16"/>
              <w:szCs w:val="16"/>
            </w:rPr>
            <w:t>6053-A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07A4E721" w:rsidR="000F5383" w:rsidRPr="00FF66BF" w:rsidRDefault="00DC5055" w:rsidP="009E1F57">
          <w:pPr>
            <w:pStyle w:val="RefTableHeader"/>
          </w:pPr>
          <w:r w:rsidRPr="00DC5055">
            <w:t>1968-A, 6053-A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216A99"/>
    <w:multiLevelType w:val="hybridMultilevel"/>
    <w:tmpl w:val="7C044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842D56"/>
    <w:multiLevelType w:val="hybridMultilevel"/>
    <w:tmpl w:val="05DA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2F3291"/>
    <w:multiLevelType w:val="hybridMultilevel"/>
    <w:tmpl w:val="4112C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170278"/>
    <w:multiLevelType w:val="hybridMultilevel"/>
    <w:tmpl w:val="B1941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330B1A"/>
    <w:multiLevelType w:val="hybridMultilevel"/>
    <w:tmpl w:val="14069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1"/>
  </w:num>
  <w:num w:numId="3" w16cid:durableId="611589570">
    <w:abstractNumId w:val="1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4"/>
  </w:num>
  <w:num w:numId="18" w16cid:durableId="299724409">
    <w:abstractNumId w:val="20"/>
  </w:num>
  <w:num w:numId="19" w16cid:durableId="214585573">
    <w:abstractNumId w:val="13"/>
  </w:num>
  <w:num w:numId="20" w16cid:durableId="1066490929">
    <w:abstractNumId w:val="25"/>
  </w:num>
  <w:num w:numId="21" w16cid:durableId="1640451743">
    <w:abstractNumId w:val="23"/>
  </w:num>
  <w:num w:numId="22" w16cid:durableId="1484813148">
    <w:abstractNumId w:val="19"/>
  </w:num>
  <w:num w:numId="23" w16cid:durableId="435179545">
    <w:abstractNumId w:val="14"/>
  </w:num>
  <w:num w:numId="24" w16cid:durableId="1631784102">
    <w:abstractNumId w:val="22"/>
  </w:num>
  <w:num w:numId="25" w16cid:durableId="1336958056">
    <w:abstractNumId w:val="17"/>
  </w:num>
  <w:num w:numId="26" w16cid:durableId="348216433">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4E30"/>
    <w:rsid w:val="000255D0"/>
    <w:rsid w:val="0002595C"/>
    <w:rsid w:val="00026803"/>
    <w:rsid w:val="000273F0"/>
    <w:rsid w:val="0002776D"/>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14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641"/>
    <w:rsid w:val="000D6A39"/>
    <w:rsid w:val="000D7B5C"/>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1F5"/>
    <w:rsid w:val="000F5383"/>
    <w:rsid w:val="000F5A0F"/>
    <w:rsid w:val="000F61E0"/>
    <w:rsid w:val="000F6668"/>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34"/>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1E85"/>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96C"/>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9F1"/>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383"/>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1B40"/>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432"/>
    <w:rsid w:val="0032667A"/>
    <w:rsid w:val="0032670A"/>
    <w:rsid w:val="00326990"/>
    <w:rsid w:val="00327428"/>
    <w:rsid w:val="00327C29"/>
    <w:rsid w:val="00330E29"/>
    <w:rsid w:val="003319A7"/>
    <w:rsid w:val="00332104"/>
    <w:rsid w:val="00332261"/>
    <w:rsid w:val="0033231E"/>
    <w:rsid w:val="0033351E"/>
    <w:rsid w:val="00333878"/>
    <w:rsid w:val="00333FEE"/>
    <w:rsid w:val="00334CA8"/>
    <w:rsid w:val="003357AB"/>
    <w:rsid w:val="00335BA9"/>
    <w:rsid w:val="003363E7"/>
    <w:rsid w:val="003364EB"/>
    <w:rsid w:val="00336990"/>
    <w:rsid w:val="0034083D"/>
    <w:rsid w:val="003409BE"/>
    <w:rsid w:val="00340B83"/>
    <w:rsid w:val="00341929"/>
    <w:rsid w:val="00341F47"/>
    <w:rsid w:val="00342365"/>
    <w:rsid w:val="00343BE2"/>
    <w:rsid w:val="00343E90"/>
    <w:rsid w:val="00344E7D"/>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30A"/>
    <w:rsid w:val="00371901"/>
    <w:rsid w:val="00372A21"/>
    <w:rsid w:val="00372FCD"/>
    <w:rsid w:val="0037333D"/>
    <w:rsid w:val="003741D1"/>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109"/>
    <w:rsid w:val="003A0693"/>
    <w:rsid w:val="003A2056"/>
    <w:rsid w:val="003A4B3A"/>
    <w:rsid w:val="003A5707"/>
    <w:rsid w:val="003A6459"/>
    <w:rsid w:val="003A7860"/>
    <w:rsid w:val="003A796A"/>
    <w:rsid w:val="003B009E"/>
    <w:rsid w:val="003B1472"/>
    <w:rsid w:val="003B1A5F"/>
    <w:rsid w:val="003B1B13"/>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17"/>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005"/>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5D"/>
    <w:rsid w:val="00431EB7"/>
    <w:rsid w:val="00432810"/>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1F"/>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6E99"/>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383"/>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1D65"/>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0C2"/>
    <w:rsid w:val="004B2869"/>
    <w:rsid w:val="004B384B"/>
    <w:rsid w:val="004B393A"/>
    <w:rsid w:val="004B3E80"/>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2153"/>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177B3"/>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1"/>
    <w:rsid w:val="00552A6C"/>
    <w:rsid w:val="00552AD2"/>
    <w:rsid w:val="005539ED"/>
    <w:rsid w:val="00553C00"/>
    <w:rsid w:val="00554C8D"/>
    <w:rsid w:val="005553FE"/>
    <w:rsid w:val="005555FB"/>
    <w:rsid w:val="00556A6F"/>
    <w:rsid w:val="0055710E"/>
    <w:rsid w:val="00560433"/>
    <w:rsid w:val="00560464"/>
    <w:rsid w:val="00560623"/>
    <w:rsid w:val="0056090D"/>
    <w:rsid w:val="00560C56"/>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AC0"/>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6E44"/>
    <w:rsid w:val="0063736B"/>
    <w:rsid w:val="006374D1"/>
    <w:rsid w:val="00637D18"/>
    <w:rsid w:val="0064175A"/>
    <w:rsid w:val="00642734"/>
    <w:rsid w:val="00642971"/>
    <w:rsid w:val="00642BEF"/>
    <w:rsid w:val="006434FA"/>
    <w:rsid w:val="00643E65"/>
    <w:rsid w:val="00643E90"/>
    <w:rsid w:val="006447C5"/>
    <w:rsid w:val="00645601"/>
    <w:rsid w:val="0064565D"/>
    <w:rsid w:val="00645B20"/>
    <w:rsid w:val="00645D4F"/>
    <w:rsid w:val="00647646"/>
    <w:rsid w:val="0065036F"/>
    <w:rsid w:val="00650ADD"/>
    <w:rsid w:val="00651CAA"/>
    <w:rsid w:val="00652357"/>
    <w:rsid w:val="006525F5"/>
    <w:rsid w:val="00652D56"/>
    <w:rsid w:val="00653B49"/>
    <w:rsid w:val="0065581E"/>
    <w:rsid w:val="00655AEE"/>
    <w:rsid w:val="00656925"/>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78F"/>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0413"/>
    <w:rsid w:val="006A0C5D"/>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DCA"/>
    <w:rsid w:val="00712EA4"/>
    <w:rsid w:val="00712F85"/>
    <w:rsid w:val="00714B4F"/>
    <w:rsid w:val="007150E9"/>
    <w:rsid w:val="00715ACF"/>
    <w:rsid w:val="007161D0"/>
    <w:rsid w:val="007162FB"/>
    <w:rsid w:val="00716EF1"/>
    <w:rsid w:val="00717257"/>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998"/>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2BC1"/>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5A14"/>
    <w:rsid w:val="007C7087"/>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608C"/>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360C"/>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0DBE"/>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921"/>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D12"/>
    <w:rsid w:val="008C5E4C"/>
    <w:rsid w:val="008D0F23"/>
    <w:rsid w:val="008D1B34"/>
    <w:rsid w:val="008D2B93"/>
    <w:rsid w:val="008D31AD"/>
    <w:rsid w:val="008D363F"/>
    <w:rsid w:val="008D3802"/>
    <w:rsid w:val="008D57F5"/>
    <w:rsid w:val="008D5871"/>
    <w:rsid w:val="008D5BCA"/>
    <w:rsid w:val="008E07BA"/>
    <w:rsid w:val="008E0BDD"/>
    <w:rsid w:val="008E0F0D"/>
    <w:rsid w:val="008E1130"/>
    <w:rsid w:val="008E160B"/>
    <w:rsid w:val="008E170C"/>
    <w:rsid w:val="008E24FB"/>
    <w:rsid w:val="008E2500"/>
    <w:rsid w:val="008E3173"/>
    <w:rsid w:val="008E3302"/>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0B9"/>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0E9"/>
    <w:rsid w:val="00931D1D"/>
    <w:rsid w:val="00931D32"/>
    <w:rsid w:val="009323E1"/>
    <w:rsid w:val="009324A8"/>
    <w:rsid w:val="00932532"/>
    <w:rsid w:val="00934A46"/>
    <w:rsid w:val="00935BC3"/>
    <w:rsid w:val="00937266"/>
    <w:rsid w:val="00940AA9"/>
    <w:rsid w:val="00941264"/>
    <w:rsid w:val="0094143E"/>
    <w:rsid w:val="0094296E"/>
    <w:rsid w:val="0094298C"/>
    <w:rsid w:val="009434AA"/>
    <w:rsid w:val="009434E1"/>
    <w:rsid w:val="009453EE"/>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8E9"/>
    <w:rsid w:val="009C6CB5"/>
    <w:rsid w:val="009C6CFE"/>
    <w:rsid w:val="009C7D3E"/>
    <w:rsid w:val="009D0B0C"/>
    <w:rsid w:val="009D0C37"/>
    <w:rsid w:val="009D2D63"/>
    <w:rsid w:val="009D4F09"/>
    <w:rsid w:val="009D60F4"/>
    <w:rsid w:val="009D6686"/>
    <w:rsid w:val="009D6C0F"/>
    <w:rsid w:val="009D6D3D"/>
    <w:rsid w:val="009D7037"/>
    <w:rsid w:val="009D71AB"/>
    <w:rsid w:val="009D72AF"/>
    <w:rsid w:val="009D7595"/>
    <w:rsid w:val="009D7679"/>
    <w:rsid w:val="009D7C0C"/>
    <w:rsid w:val="009D7F0B"/>
    <w:rsid w:val="009E0F23"/>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4E19"/>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2E0"/>
    <w:rsid w:val="00A655D6"/>
    <w:rsid w:val="00A656CE"/>
    <w:rsid w:val="00A661A9"/>
    <w:rsid w:val="00A66B5B"/>
    <w:rsid w:val="00A66E07"/>
    <w:rsid w:val="00A672B3"/>
    <w:rsid w:val="00A676CB"/>
    <w:rsid w:val="00A67BE5"/>
    <w:rsid w:val="00A70D4D"/>
    <w:rsid w:val="00A719BF"/>
    <w:rsid w:val="00A71D7C"/>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87FDE"/>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3AA"/>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E7D0A"/>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556A"/>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749"/>
    <w:rsid w:val="00B67932"/>
    <w:rsid w:val="00B67D19"/>
    <w:rsid w:val="00B70163"/>
    <w:rsid w:val="00B706AF"/>
    <w:rsid w:val="00B7134B"/>
    <w:rsid w:val="00B71665"/>
    <w:rsid w:val="00B72331"/>
    <w:rsid w:val="00B725FA"/>
    <w:rsid w:val="00B72DFD"/>
    <w:rsid w:val="00B7393F"/>
    <w:rsid w:val="00B73BA9"/>
    <w:rsid w:val="00B73FA7"/>
    <w:rsid w:val="00B74318"/>
    <w:rsid w:val="00B76A92"/>
    <w:rsid w:val="00B76BCF"/>
    <w:rsid w:val="00B76C81"/>
    <w:rsid w:val="00B77B78"/>
    <w:rsid w:val="00B77D6E"/>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C61"/>
    <w:rsid w:val="00BB3F6D"/>
    <w:rsid w:val="00BB4131"/>
    <w:rsid w:val="00BB5B7E"/>
    <w:rsid w:val="00BB6239"/>
    <w:rsid w:val="00BB6FE9"/>
    <w:rsid w:val="00BC02EF"/>
    <w:rsid w:val="00BC07BE"/>
    <w:rsid w:val="00BC2111"/>
    <w:rsid w:val="00BC2848"/>
    <w:rsid w:val="00BC2C8D"/>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0B3"/>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88C"/>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4049"/>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306"/>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6FD"/>
    <w:rsid w:val="00D21D0C"/>
    <w:rsid w:val="00D22985"/>
    <w:rsid w:val="00D2332E"/>
    <w:rsid w:val="00D24201"/>
    <w:rsid w:val="00D24AC3"/>
    <w:rsid w:val="00D24F0F"/>
    <w:rsid w:val="00D24F6F"/>
    <w:rsid w:val="00D25BE2"/>
    <w:rsid w:val="00D26363"/>
    <w:rsid w:val="00D30248"/>
    <w:rsid w:val="00D30A4B"/>
    <w:rsid w:val="00D31003"/>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055"/>
    <w:rsid w:val="00DC54A4"/>
    <w:rsid w:val="00DC5E7C"/>
    <w:rsid w:val="00DC693A"/>
    <w:rsid w:val="00DC6EC1"/>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5CE"/>
    <w:rsid w:val="00E46738"/>
    <w:rsid w:val="00E46A0A"/>
    <w:rsid w:val="00E474A3"/>
    <w:rsid w:val="00E47A32"/>
    <w:rsid w:val="00E5021D"/>
    <w:rsid w:val="00E509A9"/>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6EAA"/>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56B7"/>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2496"/>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E9C"/>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320"/>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3B26"/>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E08"/>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6C7D"/>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2F9"/>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9AC"/>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3EF6"/>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qFormat/>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37130A"/>
    <w:pPr>
      <w:numPr>
        <w:numId w:val="26"/>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B4A0006F-8A69-4DA4-9101-0FFD0A3F127F}"/>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Trelstar SGM 1968-A, 6053-A</vt:lpstr>
    </vt:vector>
  </TitlesOfParts>
  <Company>CVS Caremark</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Trelstar SGM 1968-A, 6053-A</dc:title>
  <dc:subject>Trelstar SGM 1968-A, 6053-A</dc:subject>
  <dc:creator>CVS Caremark</dc:creator>
  <cp:keywords/>
  <cp:lastModifiedBy>Huerta, Linda M</cp:lastModifiedBy>
  <cp:revision>4</cp:revision>
  <cp:lastPrinted>2024-04-19T11:22:00Z</cp:lastPrinted>
  <dcterms:created xsi:type="dcterms:W3CDTF">2025-07-18T14:57:00Z</dcterms:created>
  <dcterms:modified xsi:type="dcterms:W3CDTF">2025-07-18T14:59:00Z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768900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